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82"/>
        <w:gridCol w:w="5196"/>
        <w:gridCol w:w="1701"/>
        <w:gridCol w:w="1881"/>
      </w:tblGrid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3499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33499">
              <w:rPr>
                <w:rFonts w:ascii="Tahoma" w:hAnsi="Tahoma" w:cs="Tahoma"/>
                <w:b/>
                <w:sz w:val="20"/>
                <w:szCs w:val="20"/>
              </w:rPr>
              <w:t>Parametry graniczne i oceniane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3499">
              <w:rPr>
                <w:rFonts w:ascii="Tahoma" w:hAnsi="Tahoma" w:cs="Tahoma"/>
                <w:b/>
                <w:sz w:val="20"/>
                <w:szCs w:val="20"/>
              </w:rPr>
              <w:t>Parametry wymagane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3499">
              <w:rPr>
                <w:rFonts w:ascii="Tahoma" w:hAnsi="Tahoma" w:cs="Tahoma"/>
                <w:b/>
                <w:sz w:val="20"/>
                <w:szCs w:val="20"/>
              </w:rPr>
              <w:t>Parametry oferowane</w:t>
            </w: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33499">
              <w:rPr>
                <w:rFonts w:ascii="Tahoma" w:hAnsi="Tahoma" w:cs="Tahoma"/>
                <w:b/>
                <w:sz w:val="20"/>
                <w:szCs w:val="20"/>
              </w:rPr>
              <w:t>BUDOWA MONITORÓW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Rok produkcji 2015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A3349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 xml:space="preserve">Monitor o budowie kompaktowej – 4szt. 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A3349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Kolorowy ekran LCD o przekątnej co najmniej 10 cali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A3349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Masa monitora ≤ 7kg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Ilość różnych przebiegów ( krzywych ) dynamicznych prezentowanych jednoczasowo na ekranie monitora – minimum 4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Komunikacja z użytkownikiem w języku polskim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Trendy tabelaryczne i graficzne wszystkich mierzonych parametrów min. 24 h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Niezależne ustawianie granic alarmowych górnych i dolnych dla wszystkich monitorowanych parametrów wraz z sygnalizacją optyczną i akustyczną przekroczeń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Zasilanie monitora 100-240 V prądu zmiennego, 50-60 Hz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Wbudowane zasilanie akumulatorowe na min 2,5 h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33499">
              <w:rPr>
                <w:rFonts w:ascii="Tahoma" w:hAnsi="Tahoma" w:cs="Tahoma"/>
                <w:b/>
                <w:sz w:val="20"/>
                <w:szCs w:val="20"/>
              </w:rPr>
              <w:t>PARAMETRY MONITOROWANE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Ekg z podstawową analizą arytmii 3 odprowadzeniowe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a) zakres pomiarowy co najmniej : 30-250 bpm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b) zakres alarmowy co najmniej : 0-250 bpm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c) dokładność pomiaru 1 %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d) regulacja wzmocnienia  co najmniej : 0,5-2,0 cm/mV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e) prędkość przesuwu wykresu co najmniej od 12,5 do 50 mm/s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 xml:space="preserve"> f) wykrywanie stymulatora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Czynność oddechowa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a) pomiar metodą pneumografii impedancyjnej z prezentacją cyfrową i krzywą dynamiczną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b) zakres pomiarowy min od 6 do 120 odd/min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c) granice alarmowe min 6 do 120 odd/min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d) alarm bezdechu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Nieinwazyjny pomiar ciśnienia krwi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a) pomiar automatyczny i ręczny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b) prezentacja wartości skurczowej, rozkurczowej i średniej – alarm dla każdej wartości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c) zakres pomiaru co najmniej 15 do 260 mmHg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d) zakres czasowy co najmniej : 3 do 360 minut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Pomiar saturacji :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a) prezentacja w postaci cyfrowej oraz krzywej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b) zakres pomiarowy min : 30 – 100 %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Pomiar temperatury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a) dwa kanały pomiarowe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b) zakres pomiarowy : 15-45 ˚ C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Kapnografia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a) wyświetlanie krzywej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b) pomiar w zakresie co najmniej od 0 do 90 mmHg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Pomiar ciśnienia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inwazyjnego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a) wyświetlanie wartości skurczowego, rozkurczowego i średniego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b) granice alarmowe ustawiane ręcznie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33499">
              <w:rPr>
                <w:rFonts w:ascii="Tahoma" w:hAnsi="Tahoma" w:cs="Tahoma"/>
                <w:b/>
                <w:sz w:val="20"/>
                <w:szCs w:val="20"/>
              </w:rPr>
              <w:t>WYPOSAŻENIE I AKCESORIA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 xml:space="preserve">Kable do Ekg – 3 żyłowy 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Kabelki zatrzaskowe do elektrod – po 3 szt.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Przewody i czujniki do pomiaru SpO</w:t>
            </w:r>
            <w:r w:rsidRPr="00A33499">
              <w:rPr>
                <w:rFonts w:ascii="Tahoma" w:hAnsi="Tahoma" w:cs="Tahoma"/>
                <w:sz w:val="20"/>
                <w:szCs w:val="20"/>
                <w:vertAlign w:val="subscript"/>
              </w:rPr>
              <w:t xml:space="preserve">2 </w:t>
            </w:r>
            <w:r w:rsidRPr="00A33499">
              <w:rPr>
                <w:rFonts w:ascii="Tahoma" w:hAnsi="Tahoma" w:cs="Tahoma"/>
                <w:sz w:val="20"/>
                <w:szCs w:val="20"/>
              </w:rPr>
              <w:t>na palec i ucho – 3 na palec i 1 na ucho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Wąż do mankietów do pomiaru ciśnienia nieinwazyjnego krwi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Wielorazowe mankiety do pomiaru nieinwazyjnego ciśnienia krwi duży, średni i mały dla dorosłych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Wielorazowe mankiety do pomiaru ciśnienia nieinwazyjnego dla dzieci duży, średni i mały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Czujniki temperatury powierzchniowy – 3 szt. i centralny – 1 szt.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Kable adaptacyjne do pomiaru temperatury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Przewód interfejsowy i 10 jednorazowych przetworników do pomiaru ciśnienia inwazyjnego krwi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 xml:space="preserve">Czujniki i próbki do pomiarów kapnometrycznych z adapterami 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A3349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Instrukcja obsługi w języku polskim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3499" w:rsidTr="00C7185D">
        <w:tc>
          <w:tcPr>
            <w:tcW w:w="582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196" w:type="dxa"/>
          </w:tcPr>
          <w:p w:rsidR="00A33499" w:rsidRPr="00A33499" w:rsidRDefault="00A33499" w:rsidP="00A3349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Wpis do Rejestru Wyrobów Medycznych</w:t>
            </w:r>
          </w:p>
        </w:tc>
        <w:tc>
          <w:tcPr>
            <w:tcW w:w="170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3499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81" w:type="dxa"/>
          </w:tcPr>
          <w:p w:rsidR="00A33499" w:rsidRPr="00A33499" w:rsidRDefault="00A33499" w:rsidP="00A3349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33499" w:rsidRDefault="00A33499" w:rsidP="00A33499">
      <w:pPr>
        <w:spacing w:line="360" w:lineRule="auto"/>
        <w:jc w:val="both"/>
        <w:rPr>
          <w:rFonts w:ascii="Tahoma" w:hAnsi="Tahoma"/>
          <w:b/>
        </w:rPr>
      </w:pPr>
    </w:p>
    <w:p w:rsidR="00A33499" w:rsidRDefault="00A33499" w:rsidP="00A33499">
      <w:pPr>
        <w:spacing w:line="360" w:lineRule="auto"/>
        <w:jc w:val="both"/>
        <w:rPr>
          <w:rFonts w:ascii="Tahoma" w:hAnsi="Tahoma"/>
          <w:b/>
        </w:rPr>
      </w:pPr>
    </w:p>
    <w:p w:rsidR="00DE78DA" w:rsidRDefault="00DE78DA"/>
    <w:sectPr w:rsidR="00DE78DA" w:rsidSect="00EC35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750" w:rsidRDefault="00FA1750" w:rsidP="007F46A4">
      <w:pPr>
        <w:spacing w:after="0" w:line="240" w:lineRule="auto"/>
      </w:pPr>
      <w:r>
        <w:separator/>
      </w:r>
    </w:p>
  </w:endnote>
  <w:endnote w:type="continuationSeparator" w:id="1">
    <w:p w:rsidR="00FA1750" w:rsidRDefault="00FA1750" w:rsidP="007F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A4" w:rsidRDefault="007F46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A4" w:rsidRDefault="007F46A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A4" w:rsidRDefault="007F46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750" w:rsidRDefault="00FA1750" w:rsidP="007F46A4">
      <w:pPr>
        <w:spacing w:after="0" w:line="240" w:lineRule="auto"/>
      </w:pPr>
      <w:r>
        <w:separator/>
      </w:r>
    </w:p>
  </w:footnote>
  <w:footnote w:type="continuationSeparator" w:id="1">
    <w:p w:rsidR="00FA1750" w:rsidRDefault="00FA1750" w:rsidP="007F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A4" w:rsidRDefault="007F46A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A4" w:rsidRDefault="007F46A4" w:rsidP="007F46A4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46A4" w:rsidRDefault="007F46A4" w:rsidP="007F46A4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AD72FB" w:rsidRDefault="00AD72FB" w:rsidP="00AD72FB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AD72FB" w:rsidRDefault="00821404" w:rsidP="00AD72FB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9</w:t>
    </w:r>
  </w:p>
  <w:p w:rsidR="00FD3A91" w:rsidRPr="00FD3A91" w:rsidRDefault="00FD3A91" w:rsidP="00FD3A91">
    <w:pPr>
      <w:jc w:val="cen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>KARDIOMONITOR</w:t>
    </w:r>
  </w:p>
  <w:p w:rsidR="007F46A4" w:rsidRPr="007F46A4" w:rsidRDefault="007F46A4" w:rsidP="007F46A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6A4" w:rsidRDefault="007F46A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067C"/>
    <w:rsid w:val="001417CA"/>
    <w:rsid w:val="002902C1"/>
    <w:rsid w:val="00777A5E"/>
    <w:rsid w:val="007841B2"/>
    <w:rsid w:val="007C677F"/>
    <w:rsid w:val="007F46A4"/>
    <w:rsid w:val="00821404"/>
    <w:rsid w:val="0088067C"/>
    <w:rsid w:val="00A33499"/>
    <w:rsid w:val="00AD72FB"/>
    <w:rsid w:val="00B106BB"/>
    <w:rsid w:val="00B970B1"/>
    <w:rsid w:val="00BC345E"/>
    <w:rsid w:val="00DC7A6E"/>
    <w:rsid w:val="00DE78DA"/>
    <w:rsid w:val="00EC35FE"/>
    <w:rsid w:val="00FA1750"/>
    <w:rsid w:val="00FD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5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F4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46A4"/>
  </w:style>
  <w:style w:type="paragraph" w:styleId="Stopka">
    <w:name w:val="footer"/>
    <w:basedOn w:val="Normalny"/>
    <w:link w:val="StopkaZnak"/>
    <w:uiPriority w:val="99"/>
    <w:semiHidden/>
    <w:unhideWhenUsed/>
    <w:rsid w:val="007F4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F46A4"/>
  </w:style>
  <w:style w:type="paragraph" w:styleId="Tekstdymka">
    <w:name w:val="Balloon Text"/>
    <w:basedOn w:val="Normalny"/>
    <w:link w:val="TekstdymkaZnak"/>
    <w:uiPriority w:val="99"/>
    <w:semiHidden/>
    <w:unhideWhenUsed/>
    <w:rsid w:val="007F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439</Words>
  <Characters>2639</Characters>
  <Application>Microsoft Office Word</Application>
  <DocSecurity>0</DocSecurity>
  <Lines>21</Lines>
  <Paragraphs>6</Paragraphs>
  <ScaleCrop>false</ScaleCrop>
  <Company>Your Company Name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13</cp:revision>
  <cp:lastPrinted>2015-09-22T06:18:00Z</cp:lastPrinted>
  <dcterms:created xsi:type="dcterms:W3CDTF">2015-09-15T06:01:00Z</dcterms:created>
  <dcterms:modified xsi:type="dcterms:W3CDTF">2015-09-23T09:58:00Z</dcterms:modified>
</cp:coreProperties>
</file>