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6946"/>
        <w:gridCol w:w="1276"/>
        <w:gridCol w:w="850"/>
      </w:tblGrid>
      <w:tr w:rsidR="006B6D5A" w:rsidRPr="006B6D5A" w:rsidTr="006B6D5A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ind w:left="-15" w:firstLine="1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bCs/>
                <w:sz w:val="20"/>
                <w:szCs w:val="20"/>
              </w:rPr>
              <w:t>PARAMETRY WYMAGANE</w:t>
            </w:r>
          </w:p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Wartości wymagane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TAK/</w:t>
            </w:r>
          </w:p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NIE</w:t>
            </w:r>
          </w:p>
        </w:tc>
      </w:tr>
      <w:tr w:rsidR="006B6D5A" w:rsidRPr="006B6D5A" w:rsidTr="006B6D5A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ind w:left="-15" w:firstLine="15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Rok produkcji 2015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Monitor  przystosowany do pracy w standardowej sieci komputerowej (IEEE 802.3). Możliwość przywołania ekranu z różnych kardiomonitorów zarówno modułowych jak i kompaktowych tego samego producenta (min z kardiomonitora serii BV zainstalowanego na OIT)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Modułowa budowa systemu – moduły parametrowe wymienialne przez użytkownika bez udziału serwisu. Możliwość zastosowania posiadanego przez OIT modułu pomiarowego z kardiomonitora serii BV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4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Komunikacja moduły – jednostka centralna poprzez złącze podczerwieni mająca na celu dodatkowe zabezpieczenie odseparowania pacjenta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Kolorowy, zintegrowany w jednej obudowie z jednostką centralną i miejscami parkingowymi na moduły, ekran LCD TFT o przekątnej co najmniej </w:t>
            </w:r>
            <w:smartTag w:uri="urn:schemas-microsoft-com:office:smarttags" w:element="metricconverter">
              <w:smartTagPr>
                <w:attr w:name="ProductID" w:val="17”"/>
              </w:smartTagPr>
              <w:r w:rsidRPr="006B6D5A">
                <w:rPr>
                  <w:rFonts w:ascii="Tahoma" w:hAnsi="Tahoma" w:cs="Tahoma"/>
                  <w:sz w:val="20"/>
                  <w:szCs w:val="20"/>
                </w:rPr>
                <w:t>17”</w:t>
              </w:r>
            </w:smartTag>
            <w:r w:rsidRPr="006B6D5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6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Możliwość rozszerzenia możliwości pomiarowych poprzez  dołożenie modułów: 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- ciągłego, inwazyjnego pomiaru rzutu minutowego serca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- pomiaru saturacji krwi żylnej lub ośrodkowej krwi żylnej,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- gazów anestetycznych, 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- stopnia uśpienia BIS, 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lastRenderedPageBreak/>
              <w:t>- inwazyjnego pomiaru ciśnienia (co najmniej kolejne 2 kanały) z możliwością pomiaru ciśnienia śródczaszkowego.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- modułu NMT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- pomiar EEG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- modułu zintegrowanych urządzeń medycznych pozwalających na komunikacje z respiratorami oraz aparatami do znieczulenia różnych producentów</w:t>
            </w:r>
          </w:p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- modułu transportowego o przekątnej ekranu </w:t>
            </w:r>
            <w:smartTag w:uri="urn:schemas-microsoft-com:office:smarttags" w:element="metricconverter">
              <w:smartTagPr>
                <w:attr w:name="ProductID" w:val="5 cali"/>
              </w:smartTagPr>
              <w:r w:rsidRPr="006B6D5A">
                <w:rPr>
                  <w:rFonts w:ascii="Tahoma" w:hAnsi="Tahoma" w:cs="Tahoma"/>
                  <w:sz w:val="20"/>
                  <w:szCs w:val="20"/>
                </w:rPr>
                <w:t>5 cali</w:t>
              </w:r>
            </w:smartTag>
            <w:r w:rsidRPr="006B6D5A">
              <w:rPr>
                <w:rFonts w:ascii="Tahoma" w:hAnsi="Tahoma" w:cs="Tahoma"/>
                <w:sz w:val="20"/>
                <w:szCs w:val="20"/>
              </w:rPr>
              <w:t xml:space="preserve"> umożliwiający monitorowanie pacjenta (EKG, SpO2, NIBP co 15 minut) przez co najmniej 5 godzin podczas transportu. Komunikacja z monitorem</w:t>
            </w:r>
            <w:r w:rsidRPr="006B6D5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B6D5A">
              <w:rPr>
                <w:rFonts w:ascii="Tahoma" w:hAnsi="Tahoma" w:cs="Tahoma"/>
                <w:sz w:val="20"/>
                <w:szCs w:val="20"/>
              </w:rPr>
              <w:t>głównym poprzez złącze podczerwieni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7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Ilość kanałów dynamicznych – min. 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8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Komunikacja z użytkownikiem w języku polskim, instrukcja obsługi w języku polskim.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9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Sterowanie monitorem poprzez pokrętło nawigacyjne, przyciski na płycie czołowej monitora, przyciski na modułach umożliwiające szybki dostęp do menu związanego z danym modułem oraz ekran dotykowy.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10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Trendy tabelaryczne i graficzne wszystkich mierzonych parametrów min. 96 godzin.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11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Zapamiętywanie krzywych dynamicznych w czasie rzeczywistym (full disclosure) min. 12 godzin.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12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Zapamiętywanie odcinków krzywych dynamicznych związanych z sytuacjami </w:t>
            </w:r>
            <w:r w:rsidRPr="006B6D5A">
              <w:rPr>
                <w:rFonts w:ascii="Tahoma" w:hAnsi="Tahoma" w:cs="Tahoma"/>
                <w:sz w:val="20"/>
                <w:szCs w:val="20"/>
              </w:rPr>
              <w:lastRenderedPageBreak/>
              <w:t>alarmowymi min. 100 zdarzeń.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13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Funkcje obliczania dawkowania leków (kalkulator lekowy), obliczania parametrów nerkowych, obliczania parametrów natlenowania, obliczania parametrów hemodynamicznych.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14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Zasilanie monitora z sieci prądu zmiennego 230V/50Hz oraz wewnętrzne akumulatorowe na min. 2 godz. pracy.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15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Uchwyt do montażu monitora na ścianie; koszyk na akcesoria lub statyw na kółkach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16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Możliwość podłączenia monitora kopiującego (dostępne standardy złącza DVI-D i VGA)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17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Możliwość podłączenia drukarki laserowej i wykonywania wydruków danych na papierze formatu A4 – bez udziału centrali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18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 ofercie z monitorem oprogramowanie do archiwizacji danych z monitora pacjenta na komputerze osobistym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color w:val="000000"/>
                <w:sz w:val="20"/>
                <w:szCs w:val="20"/>
              </w:rPr>
              <w:t>Funkcja „standby”, pozwalająca na wstrzymanie monitorowania pacjenta, związane np. z czasowym odłączeniem go od monitora, bez konieczności wyłączania monitora, i na szybkie, ponowne uruchomienie monitorowania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6D5A">
              <w:rPr>
                <w:rFonts w:ascii="Tahoma" w:hAnsi="Tahoma" w:cs="Tahoma"/>
                <w:color w:val="000000"/>
                <w:sz w:val="20"/>
                <w:szCs w:val="20"/>
              </w:rPr>
              <w:t>Funkcja „tryb prywatny” pozwalająca - w przypadku podłączenia urządzenia do centrali - na ukrycie danych przed pacjentem i wyświetlanie ich tylko na stanowisku centralnym.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Monitor wyposażony w funkcję programowania i zapamiętywania przez użytkownika własnych konfiguracji ekranu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22.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Monitor wyposażony w co najmniej jedne gniazdo USB służące między innymi do przenoszenia konfiguracji pacjenta pomiędzy monitorami (min z oddziału OIT seria </w:t>
            </w: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BV). Monitor wyposażony w gniazdo VGA. Monitor wyposażony w gniazdo do synchronizacji defibrylatora. W ofercie z monitorem przewód połączeniowy do defibrylatora serii BH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F0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 xml:space="preserve"> POMIAR EKG/ST/RESP na każdym stanowisku</w:t>
            </w: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Pomiar częstości pracy serca w zakresie co najmniej od 20 do 250 B/min.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Pomiar częstości oddechu w zakresie co najmniej od 6 do 120 R/min.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D5A" w:rsidRPr="006B6D5A" w:rsidRDefault="006B6D5A" w:rsidP="006B6D5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Analiza odcinka ST. Prezentacja zmian odchylenia ST w postaci wzorcowych odcinków ST z nanoszonymi na nie bieżącymi  odcinkami lub w formie wykresów kołowych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Analiza arytmii – ilość wykrywanych kategorii zaburzeń rytmu min. 23 (min VF/VT, Asystolia, Bradykardia, Tachykardia, AF)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Ustawianie granic alarmowych częstości akcji serca, odchylenia odcinka ST, częstości oddechu oraz czasu trwania bezdechu.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W wyposażeniu na każdy moduł przewód EKG z 5. końcówkami. </w:t>
            </w: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W wyposażeniu przewód EKG z 5. końcówkami oraz - 100 szt. jednorazowych elektrod EKG do długotrwałego monitorowania, opakowanie nie większe jak 25 szt., średnica nie mniejsza niż 55mm, złącze przesunięte względem czujnika elektrody, podkład z „oddychającego” mikroporowatego materiału, żel ciekły, podwójny wewnętrzny i zewnętrzny obszar z klejem, wysoka jakość potwierdzona testami elektrycznymi zgodnymi z ANSI/AAMI, </w:t>
            </w:r>
            <w:r w:rsidRPr="006B6D5A">
              <w:rPr>
                <w:rFonts w:ascii="Tahoma" w:hAnsi="Tahoma" w:cs="Tahoma"/>
                <w:sz w:val="20"/>
                <w:szCs w:val="20"/>
              </w:rPr>
              <w:lastRenderedPageBreak/>
              <w:t>biokompatybilność materiału klejącego i żelu potwierdzona deklaracją producenta, karta katalogowa zawierająca opis techniczny oraz parametry elektryczne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F0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 POMIAR CIŚNIENIA METODĄ NIEINWAZYJNĄ na każdym stanowisku</w:t>
            </w: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Wyświetlanie wartości ciśnień skurczowego, rozkurczowego i średniego.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Ustawianie granic alarmowych ciśnienia skurczowego, rozkurczowego</w:t>
            </w:r>
            <w:r w:rsidRPr="006B6D5A">
              <w:rPr>
                <w:rFonts w:ascii="Tahoma" w:hAnsi="Tahoma" w:cs="Tahoma"/>
                <w:bCs/>
                <w:sz w:val="20"/>
                <w:szCs w:val="20"/>
              </w:rPr>
              <w:t xml:space="preserve">  </w:t>
            </w:r>
            <w:r w:rsidRPr="006B6D5A">
              <w:rPr>
                <w:rFonts w:ascii="Tahoma" w:hAnsi="Tahoma" w:cs="Tahoma"/>
                <w:sz w:val="20"/>
                <w:szCs w:val="20"/>
              </w:rPr>
              <w:t>i średniego.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Funkcja ułatwiająca nakłucie żyły – pompowanie mankietu i trzymanie ciśnienia przez żądany czas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Tryb pracy ręczny.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Tryb pracy automatyczny – odstępy pomiarowe co najmniej od 3 do 360 min.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 ofercie z każdym monitorem zestaw mankietów dla dorosłych: średni i duży oraz przewód łączący mankiet z modułem.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F0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 xml:space="preserve"> POMIAR SATURACJI I PLETYZMOGRAFIA na każdym stanowisku</w:t>
            </w: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Wyświetlanie krzywej pletyzmograficznej oraz wartości saturacji, częstości pulsu i wskaźnika perfuzji.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Dźwięk sygnalizujący wykrycie pulsu o zmiennej charakterystyce zależnej od wartości saturacji.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color w:val="000000"/>
                <w:sz w:val="20"/>
                <w:szCs w:val="20"/>
              </w:rPr>
              <w:t xml:space="preserve">Funkcja pozwalająca na jednoczesny pomiar SpO2 i nieinwazyjnego ciśnienia bez wywoływania alarmu SpO2 w momencie pompowania </w:t>
            </w:r>
            <w:r w:rsidRPr="006B6D5A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mankietu na kończynie na której założony jest czujnik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Ustawianie granic alarmowych % saturacji oraz częstości pulsu.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 ofercie z monitorem czujnik pomiarowy na palec umożliwiający pomiar SPO2 zarówno u dzieci jak i dorosłych oraz przewód połączeniowy do modułu.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F0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 xml:space="preserve"> POMIAR TEMPERATURY (DWA KANAŁY)  na każdym stanowisku</w:t>
            </w: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Wyświetlanie wartości temperatur w dwóch punktach ciała.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Wyświetlanie wartości temperatury różnicowej.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Ustawianie granic alarmowych temperatur ciała i różnicowej.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 ofercie z każdym monitorem czujnik temperatury powierzchniowy i centralny.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F0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 xml:space="preserve"> POMIAREM CIŚNIENIA INWAZYJNEGO na każdym stanowisku</w:t>
            </w: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Wyświetlanie wartości skurczowego, rozkurczowego i średniego.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Ustawianie granic alarmowych ciśnień skurczowych, rozkurczowego i średniego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Obliczanie i wyświetlanie wartości PPV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W ofercie z modułem: przewód interfejsowy oraz  2 jednorazowe przetworniki.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F0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tabs>
                <w:tab w:val="left" w:pos="3120"/>
              </w:tabs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MODUŁ KAPNOGRAFII (POMIAR W STRUMIENIU BOCZNYM) na każdym stanowisku</w:t>
            </w: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Zakres pomiarowy stężenia CO2 co najmniej od 0 do 90 mmHg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Ustawianie prędkości przepływu gazów – do wyboru co najmniej dwie prędkości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Zakres pomiarowy częstości oddechu co najmniej od 0 do 100 R/min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Ustawianie granic alarmowych stężenia CO2, częstości oddechu oraz programowanie alarmu bezdechu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 xml:space="preserve">W ofercie z modułem: 5 jednorazowych linii pomiarowych, 5 pułapek wodnych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6,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Monitor wyposażony w funkcję blokowania wszystkich alarmów związanych z pomiarem CO2 i respiracji na okres co najmniej 1 minuty (tryb intubacji)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F0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bCs/>
                <w:sz w:val="20"/>
                <w:szCs w:val="20"/>
              </w:rPr>
              <w:t>Pomiar rzutu minutowego serca CCO metodą małoinwazyjną (PICCO) na każdym stanowisku</w:t>
            </w: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Moduł pomiarowy sterowany z kardiomonitora. Możliwość zastosowania modułu w kardiomonitorze posiadanym przez szpital serii BV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6D5A" w:rsidRPr="006B6D5A" w:rsidTr="006B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6B6D5A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B6D5A">
              <w:rPr>
                <w:rFonts w:ascii="Tahoma" w:hAnsi="Tahoma" w:cs="Tahoma"/>
                <w:sz w:val="20"/>
                <w:szCs w:val="20"/>
              </w:rPr>
              <w:t>Moduł pomiaru rzutu minutowego serca metodą bez użycia cewnika Swana-Ganza  podłączany bezpośrednio do monitora i z niego sterowany w pełnym zakresie funkcji z możliwością podłączenia do wszystkich oferowanych monitorów. Prezentacja minimum następujących parametrów: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rzut serca (lub wskaźnik funkcji serca)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ciśnienie tętnicze krwi skurczowe, rozkurczowe, średnie (pomiar ciągły)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częstość skurczów serca (pomiar ciągły)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względne wahania objętości wyrzutowej- opór naczyniowy obwodowy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wskaźnik kurczliwości lewej komory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wskaźnik funkcji serca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wewnątrzpiersiowa objętość krwi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  <w:t>- całkowita objętość końcowo-rozkurczowa</w:t>
            </w:r>
            <w:r w:rsidRPr="006B6D5A">
              <w:rPr>
                <w:rFonts w:ascii="Tahoma" w:hAnsi="Tahoma" w:cs="Tahoma"/>
                <w:sz w:val="20"/>
                <w:szCs w:val="20"/>
              </w:rPr>
              <w:br/>
            </w:r>
            <w:r w:rsidRPr="006B6D5A">
              <w:rPr>
                <w:rFonts w:ascii="Tahoma" w:hAnsi="Tahoma" w:cs="Tahoma"/>
                <w:sz w:val="20"/>
                <w:szCs w:val="20"/>
              </w:rPr>
              <w:lastRenderedPageBreak/>
              <w:t>- całkowita frakcja wyrzutowa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6D5A" w:rsidRPr="006B6D5A" w:rsidRDefault="006B6D5A" w:rsidP="006B6D5A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B6D5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TAK</w:t>
            </w: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B6D5A" w:rsidRPr="006B6D5A" w:rsidRDefault="006B6D5A" w:rsidP="006B6D5A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D5A" w:rsidRPr="006B6D5A" w:rsidRDefault="006B6D5A" w:rsidP="006B6D5A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E4AEB" w:rsidRPr="006B6D5A" w:rsidRDefault="003E4AEB" w:rsidP="006B6D5A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3E4AEB" w:rsidRPr="006B6D5A" w:rsidSect="00D06F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91C" w:rsidRDefault="0018191C" w:rsidP="00B1242F">
      <w:pPr>
        <w:spacing w:after="0" w:line="240" w:lineRule="auto"/>
      </w:pPr>
      <w:r>
        <w:separator/>
      </w:r>
    </w:p>
  </w:endnote>
  <w:endnote w:type="continuationSeparator" w:id="1">
    <w:p w:rsidR="0018191C" w:rsidRDefault="0018191C" w:rsidP="00B1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2F" w:rsidRDefault="00B124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2F" w:rsidRDefault="00B124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2F" w:rsidRDefault="00B124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91C" w:rsidRDefault="0018191C" w:rsidP="00B1242F">
      <w:pPr>
        <w:spacing w:after="0" w:line="240" w:lineRule="auto"/>
      </w:pPr>
      <w:r>
        <w:separator/>
      </w:r>
    </w:p>
  </w:footnote>
  <w:footnote w:type="continuationSeparator" w:id="1">
    <w:p w:rsidR="0018191C" w:rsidRDefault="0018191C" w:rsidP="00B1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2F" w:rsidRDefault="00B124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2F" w:rsidRDefault="00B1242F" w:rsidP="00B1242F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242F" w:rsidRDefault="00B1242F" w:rsidP="00B1242F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A0759E" w:rsidRDefault="00A0759E" w:rsidP="00A0759E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A0759E" w:rsidRDefault="00CC3926" w:rsidP="00A0759E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6</w:t>
    </w:r>
  </w:p>
  <w:p w:rsidR="00095B42" w:rsidRPr="00095B42" w:rsidRDefault="00095B42" w:rsidP="00095B42">
    <w:pPr>
      <w:jc w:val="cen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>KARDIOMONITOR MODUŁOWY</w:t>
    </w:r>
  </w:p>
  <w:p w:rsidR="00B1242F" w:rsidRPr="00B1242F" w:rsidRDefault="00B1242F" w:rsidP="00B1242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2F" w:rsidRDefault="00B1242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A5B"/>
    <w:rsid w:val="00095B42"/>
    <w:rsid w:val="0018191C"/>
    <w:rsid w:val="003C1675"/>
    <w:rsid w:val="003E4AEB"/>
    <w:rsid w:val="006B6D5A"/>
    <w:rsid w:val="00724A11"/>
    <w:rsid w:val="00816A5B"/>
    <w:rsid w:val="0098674C"/>
    <w:rsid w:val="009D3571"/>
    <w:rsid w:val="00A0759E"/>
    <w:rsid w:val="00B1242F"/>
    <w:rsid w:val="00CC3926"/>
    <w:rsid w:val="00D06F8D"/>
    <w:rsid w:val="00E6524A"/>
    <w:rsid w:val="00E7431F"/>
    <w:rsid w:val="00EC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1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242F"/>
  </w:style>
  <w:style w:type="paragraph" w:styleId="Stopka">
    <w:name w:val="footer"/>
    <w:basedOn w:val="Normalny"/>
    <w:link w:val="StopkaZnak"/>
    <w:uiPriority w:val="99"/>
    <w:semiHidden/>
    <w:unhideWhenUsed/>
    <w:rsid w:val="00B1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242F"/>
  </w:style>
  <w:style w:type="paragraph" w:styleId="Tekstdymka">
    <w:name w:val="Balloon Text"/>
    <w:basedOn w:val="Normalny"/>
    <w:link w:val="TekstdymkaZnak"/>
    <w:uiPriority w:val="99"/>
    <w:semiHidden/>
    <w:unhideWhenUsed/>
    <w:rsid w:val="00B12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4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1219</Words>
  <Characters>7318</Characters>
  <Application>Microsoft Office Word</Application>
  <DocSecurity>0</DocSecurity>
  <Lines>60</Lines>
  <Paragraphs>17</Paragraphs>
  <ScaleCrop>false</ScaleCrop>
  <Company>Your Company Name</Company>
  <LinksUpToDate>false</LinksUpToDate>
  <CharactersWithSpaces>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2015-09-22T06:04:00Z</cp:lastPrinted>
  <dcterms:created xsi:type="dcterms:W3CDTF">2015-09-15T06:02:00Z</dcterms:created>
  <dcterms:modified xsi:type="dcterms:W3CDTF">2015-09-23T09:58:00Z</dcterms:modified>
</cp:coreProperties>
</file>