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5A" w:rsidRDefault="00DE5370" w:rsidP="00DE5370">
      <w:pPr>
        <w:jc w:val="right"/>
        <w:rPr>
          <w:b/>
        </w:rPr>
      </w:pPr>
      <w:r>
        <w:rPr>
          <w:b/>
        </w:rPr>
        <w:t>Załącznik nr 2</w:t>
      </w:r>
    </w:p>
    <w:p w:rsidR="00DE5370" w:rsidRDefault="00916E8D" w:rsidP="00DE5370">
      <w:pPr>
        <w:jc w:val="right"/>
        <w:rPr>
          <w:b/>
        </w:rPr>
      </w:pPr>
      <w:r>
        <w:rPr>
          <w:b/>
        </w:rPr>
        <w:t>Zadanie nr 5</w:t>
      </w: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86"/>
        <w:gridCol w:w="5670"/>
        <w:gridCol w:w="1701"/>
        <w:gridCol w:w="1701"/>
      </w:tblGrid>
      <w:tr w:rsidR="00F4735A" w:rsidRPr="00511FD7" w:rsidTr="00F4735A">
        <w:tc>
          <w:tcPr>
            <w:tcW w:w="985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pStyle w:val="Nagwek3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 xml:space="preserve">POMPA </w:t>
            </w:r>
            <w:r w:rsidR="00DE5370">
              <w:rPr>
                <w:rFonts w:ascii="Tahoma" w:hAnsi="Tahoma" w:cs="Tahoma"/>
                <w:sz w:val="20"/>
                <w:szCs w:val="20"/>
              </w:rPr>
              <w:t>INFUZYJNA</w:t>
            </w:r>
          </w:p>
        </w:tc>
      </w:tr>
      <w:tr w:rsidR="00F4735A" w:rsidRPr="00511FD7" w:rsidTr="00511FD7"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1FD7"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pStyle w:val="Nagwek3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11FD7" w:rsidRPr="00511FD7" w:rsidTr="00511FD7"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FD7" w:rsidRPr="00511FD7" w:rsidRDefault="00511FD7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FD7" w:rsidRPr="00511FD7" w:rsidRDefault="00511FD7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D7" w:rsidRPr="00511FD7" w:rsidRDefault="00511FD7" w:rsidP="00511FD7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D7" w:rsidRDefault="00511FD7" w:rsidP="00511FD7">
            <w:pPr>
              <w:pStyle w:val="Nagwek3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Spełnia wymagania „CE”, nr certyfikatu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tabs>
                <w:tab w:val="left" w:pos="148"/>
              </w:tabs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rPr>
          <w:trHeight w:val="669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511FD7" w:rsidP="00511FD7">
            <w:pPr>
              <w:spacing w:after="0" w:line="360" w:lineRule="auto"/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Urządzenie fabrycznie nowe, nieużywane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rPr>
          <w:cantSplit/>
          <w:trHeight w:val="3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511FD7">
              <w:rPr>
                <w:rFonts w:ascii="Tahoma" w:hAnsi="Tahoma" w:cs="Tahoma"/>
                <w:b/>
                <w:sz w:val="20"/>
                <w:szCs w:val="20"/>
              </w:rPr>
              <w:t>Wymagania podstawowe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Pompa strzykawkowa do podawania dożylnego, dotętniczego sterowana elektronicznie umożliwiająca współpracę z systemem centralnego zasilania i zarządzania danymi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Zasilanie pompy bezpośrednio z sieci za pomocą kabla niedopuszczalny zasilacz zewnętrzny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Zasilanie z akumulatora wewnętrznego m 10 godz. przy przepływie 5 ml/godz.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Masa pompy wraz z uchwytem do mocowania na stojaku lub szynie maksymalnie </w:t>
            </w:r>
            <w:smartTag w:uri="urn:schemas-microsoft-com:office:smarttags" w:element="metricconverter">
              <w:smartTagPr>
                <w:attr w:name="ProductID" w:val="2,2 kg"/>
              </w:smartTagPr>
              <w:r w:rsidRPr="00511FD7">
                <w:rPr>
                  <w:rFonts w:ascii="Tahoma" w:eastAsia="Batang" w:hAnsi="Tahoma" w:cs="Tahoma"/>
                  <w:sz w:val="20"/>
                  <w:szCs w:val="20"/>
                </w:rPr>
                <w:t>2,2 kg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Możliwość mocowania pompy do rury pionowej, kolumny lub poziomej szyny przy pomocy uchwytu na stałe wbudowanego </w:t>
            </w:r>
            <w:r w:rsidRPr="00511FD7">
              <w:rPr>
                <w:rFonts w:ascii="Tahoma" w:eastAsia="Batang" w:hAnsi="Tahoma" w:cs="Tahoma"/>
                <w:sz w:val="20"/>
                <w:szCs w:val="20"/>
              </w:rPr>
              <w:lastRenderedPageBreak/>
              <w:t>w pompę.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pacing w:val="2"/>
                <w:sz w:val="20"/>
                <w:szCs w:val="20"/>
              </w:rPr>
              <w:t>Zatrzaskowe mocowanie w opcjonalnej stacji dokującej wraz z zaciskiem i uchwytem do przenoszenia.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pacing w:val="2"/>
                <w:sz w:val="20"/>
                <w:szCs w:val="20"/>
              </w:rPr>
              <w:t>Zintegrowana z obudową rączka do przenoszenia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b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/>
                <w:spacing w:val="2"/>
                <w:sz w:val="20"/>
                <w:szCs w:val="20"/>
              </w:rPr>
              <w:t>Mocowanie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Mocowanie strzykawki do czoła pompy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Cała strzykawka stale widoczna podczas pracy pompy – możliwość odczytania objętości ze skali oraz wizualnej kontroli procesu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Pełne mocowanie strzykawki możliwe za równo przy włączonej jak i wyłączonej pompie – system obsługiwany całkowicie manualnie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>Osłona tłoka strzykawki uniemożliwiająca wciśnięcie tłoka strzykawki zamontowanej w pompie.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Pompa skalibrowana do pracy ze strzykawkami o objętości 5, 10, 20, </w:t>
            </w: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30/35 </w:t>
            </w:r>
            <w:r w:rsidRPr="00511FD7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 i 50/60 ml różnych typów oraz różnych producentów (</w:t>
            </w: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>minimum 4 producentów strzykawek dostępnych na rynku polskim)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pacing w:val="2"/>
                <w:sz w:val="20"/>
                <w:szCs w:val="20"/>
              </w:rPr>
              <w:t>Mechanizm blokujący tłok zapobiegający samoczynnemu opróżnianiu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2"/>
                <w:sz w:val="20"/>
                <w:szCs w:val="20"/>
              </w:rPr>
              <w:t>Automatyczna funkcja antybolus po okluzji – z</w:t>
            </w:r>
            <w:r w:rsidRPr="00511FD7">
              <w:rPr>
                <w:rFonts w:ascii="Tahoma" w:eastAsia="Batang" w:hAnsi="Tahoma" w:cs="Tahoma"/>
                <w:color w:val="000000"/>
                <w:spacing w:val="1"/>
                <w:sz w:val="20"/>
                <w:szCs w:val="20"/>
              </w:rPr>
              <w:t xml:space="preserve">abezpieczenie przed podaniem </w:t>
            </w: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 xml:space="preserve">niekontrolowanego bolusa po alarmie okluzji, </w:t>
            </w:r>
            <w:r w:rsidRPr="00511FD7">
              <w:rPr>
                <w:rFonts w:ascii="Tahoma" w:eastAsia="Batang" w:hAnsi="Tahoma" w:cs="Tahoma"/>
                <w:sz w:val="20"/>
                <w:szCs w:val="20"/>
              </w:rPr>
              <w:t>ograniczenie bolusa &lt; 0,2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b/>
                <w:color w:val="000000"/>
                <w:spacing w:val="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/>
                <w:color w:val="000000"/>
                <w:spacing w:val="2"/>
                <w:sz w:val="20"/>
                <w:szCs w:val="20"/>
              </w:rPr>
              <w:t>Programowanie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Zakres szybkości infuzji   0,1 – 1200 ml/godz.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Funkcja programowania infuzji co 0,01 w zakresie min. 0,1 – 9,99 ml/godz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Możliwość programowania infuzji w jednostkach masy: ng, μg, mg, U, kU, mmol, mol, Kmol, </w:t>
            </w:r>
            <w:r w:rsidRPr="00511FD7">
              <w:rPr>
                <w:rFonts w:ascii="Tahoma" w:hAnsi="Tahoma" w:cs="Tahoma"/>
                <w:sz w:val="20"/>
                <w:szCs w:val="20"/>
              </w:rPr>
              <w:t xml:space="preserve">cal i kcal – </w:t>
            </w: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 na kg masy ciała pacjenta lub nie, na czas (na 24godziny, godzinę oraz minutę).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Bolus podawany na żądanie bez konieczności wstrzymywania trwającej infuzji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Trzy rodzaje bolusa:</w:t>
            </w:r>
          </w:p>
          <w:p w:rsidR="00F4735A" w:rsidRPr="00511FD7" w:rsidRDefault="00F4735A" w:rsidP="00511FD7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Ręczny - szybkości podaży 50 – 1200 ml/h</w:t>
            </w:r>
          </w:p>
          <w:p w:rsidR="00F4735A" w:rsidRPr="00511FD7" w:rsidRDefault="00F4735A" w:rsidP="00511FD7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Programowany - dawka lub objętość/czas: 0,1-99,9 jednostek / 0,1  - 1200 ml, automatyczne wyliczenie czasu</w:t>
            </w:r>
          </w:p>
          <w:p w:rsidR="00F4735A" w:rsidRPr="00511FD7" w:rsidRDefault="00F4735A" w:rsidP="00511FD7">
            <w:pPr>
              <w:numPr>
                <w:ilvl w:val="0"/>
                <w:numId w:val="2"/>
              </w:numPr>
              <w:tabs>
                <w:tab w:val="num" w:pos="0"/>
              </w:tabs>
              <w:spacing w:after="0" w:line="360" w:lineRule="auto"/>
              <w:ind w:left="292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Emergency - manualne przesunięcie tłoka strzykawki z funkcją zliczania podanej objętości i prezentacją wartości na ekranie urządzenia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Dokładność mechanizmu pompy +/- 1%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Wypełnienie lini 3 tryby</w:t>
            </w:r>
          </w:p>
          <w:p w:rsidR="00F4735A" w:rsidRPr="00511FD7" w:rsidRDefault="00F4735A" w:rsidP="00511FD7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Obowiązkowy</w:t>
            </w:r>
          </w:p>
          <w:p w:rsidR="00F4735A" w:rsidRPr="00511FD7" w:rsidRDefault="00F4735A" w:rsidP="00511FD7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Nieobowiązkowy</w:t>
            </w:r>
          </w:p>
          <w:p w:rsidR="00F4735A" w:rsidRPr="00511FD7" w:rsidRDefault="00F4735A" w:rsidP="00511FD7">
            <w:pPr>
              <w:numPr>
                <w:ilvl w:val="0"/>
                <w:numId w:val="3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Zalecany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Funkcja programowania objętości do podania (VTBD) 0,1- 999,9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Funkcja programowania czasu infuzji przynajmniej od 1min – 96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Dawka inicjująca. Dawka lub objętość/ czas: 0,1-99,9 jednostek /1- 59 minut, automatyczne obliczanie infuzji.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Ciągły pomiar ciśnienia w linii zobrazowany  w postaci piktograsmu na ekranie pompy.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Ustawianie poziomu ciśnienia okluzji – przynajmniej 20 poziomów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both"/>
              <w:rPr>
                <w:rFonts w:ascii="Tahoma" w:eastAsia="Batang" w:hAnsi="Tahoma" w:cs="Tahoma"/>
                <w:sz w:val="20"/>
                <w:szCs w:val="20"/>
                <w:lang w:val="en-US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  <w:lang w:val="en-US"/>
              </w:rPr>
              <w:t>Funkcja KVO (Keep Vein Open)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Zróżnicowana prędkość KVO z możliwością programowania szybkości</w:t>
            </w:r>
          </w:p>
          <w:p w:rsidR="00F4735A" w:rsidRPr="00511FD7" w:rsidRDefault="00F4735A" w:rsidP="00511FD7">
            <w:pPr>
              <w:numPr>
                <w:ilvl w:val="0"/>
                <w:numId w:val="4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od 0,1 do 5 ml/h </w:t>
            </w:r>
          </w:p>
          <w:p w:rsidR="00F4735A" w:rsidRPr="00511FD7" w:rsidRDefault="00F4735A" w:rsidP="00511FD7">
            <w:pPr>
              <w:numPr>
                <w:ilvl w:val="0"/>
                <w:numId w:val="4"/>
              </w:numPr>
              <w:spacing w:after="0"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zapis ustawień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Sygnalizacja wahań ciśnienia w linii. Pozwalająca przewidzieć niebezpieczeństwo pojawienia się okluzji lub nieszczelności.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Rejestr na 1500 zdarzeń zapisywany w czasie rzeczywistym.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Funkcja – przerwa (standby) w zakresie od 1min do 24 godzin programowany co 1 minutę z funkcją automatycznego startu infuzji po zaprogramowanej przerwie.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/>
                <w:sz w:val="20"/>
                <w:szCs w:val="20"/>
              </w:rPr>
              <w:t>Panel sterowania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Specjalny sposób wyświetlania parametrów dostosowany do pracy przy słabym oświetleniu (tzw. Tryb nocny)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Wskaźnik pracy pompy widoczne z min.5 metrów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Klawiatura symboliczna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Komunikaty tekstowe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Funkcja wyświetlania trendów objętości, szybkości infuzji oraz ciśnienia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Wbudowana w pompę możliwość dopasowana ustawień oraz </w:t>
            </w:r>
            <w:r w:rsidRPr="00511FD7">
              <w:rPr>
                <w:rFonts w:ascii="Tahoma" w:eastAsia="Batang" w:hAnsi="Tahoma" w:cs="Tahoma"/>
                <w:sz w:val="20"/>
                <w:szCs w:val="20"/>
              </w:rPr>
              <w:lastRenderedPageBreak/>
              <w:t>zawartości menu do potrzeb oddziału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Biblioteka leków, min. 100 leków wraz z protokołami infuzji (domyślne przepływy, dawki, prędkości bolusa, stężenia itp.)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/>
                <w:sz w:val="20"/>
                <w:szCs w:val="20"/>
              </w:rPr>
              <w:t>Układ alarmów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>Akustyczno-</w:t>
            </w:r>
            <w:r w:rsidRPr="00511FD7"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  <w:t>optyczny</w:t>
            </w: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 xml:space="preserve"> system alarmów i ostrzeżeń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Alarm pustej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-2"/>
                <w:sz w:val="20"/>
                <w:szCs w:val="20"/>
              </w:rPr>
              <w:t>Alarm przypominający –zatrzymana infuzja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ind w:right="-65" w:firstLine="5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okluzji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rozłączenia linii – spadku ciśnienia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pacing w:val="-1"/>
                <w:sz w:val="20"/>
                <w:szCs w:val="20"/>
              </w:rPr>
              <w:t>Alarm rozładowanego akumulatora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>Alarm braku lub źle założonej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Alarm otwartego uchwytu komory strzykawki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hd w:val="clear" w:color="auto" w:fill="FFFFFF"/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>Alarm informujący o uszkodzeniu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 xml:space="preserve">Alarm wstępny </w:t>
            </w:r>
            <w:r w:rsidRPr="00511FD7">
              <w:rPr>
                <w:rFonts w:ascii="Tahoma" w:eastAsia="Batang" w:hAnsi="Tahoma" w:cs="Tahoma"/>
                <w:color w:val="000000"/>
                <w:sz w:val="20"/>
                <w:szCs w:val="20"/>
              </w:rPr>
              <w:t>zbliżającego się rozładowania akumulatora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Alarm wstępny przed opróżnieniem strzykawki.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Alarm wstępny przed końcem infuzji.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b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/>
                <w:sz w:val="20"/>
                <w:szCs w:val="20"/>
              </w:rPr>
              <w:t>Pozostałe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Instrukcja obsługi w języku polskim</w:t>
            </w:r>
          </w:p>
          <w:p w:rsidR="00F4735A" w:rsidRPr="00511FD7" w:rsidRDefault="00F4735A" w:rsidP="00511FD7">
            <w:pPr>
              <w:spacing w:line="360" w:lineRule="auto"/>
              <w:rPr>
                <w:rFonts w:ascii="Tahoma" w:eastAsia="Batang" w:hAnsi="Tahoma" w:cs="Tahoma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sz w:val="20"/>
                <w:szCs w:val="20"/>
              </w:rPr>
              <w:t>( z dostawą)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 w:val="0"/>
                <w:sz w:val="20"/>
                <w:szCs w:val="20"/>
              </w:rPr>
              <w:t>Możliwość transmisji danych</w:t>
            </w:r>
          </w:p>
          <w:p w:rsidR="00F4735A" w:rsidRPr="00511FD7" w:rsidRDefault="00F4735A" w:rsidP="00511FD7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 w:val="0"/>
                <w:sz w:val="20"/>
                <w:szCs w:val="20"/>
              </w:rPr>
              <w:t>z pompy, możliwość połączenia w sieć</w:t>
            </w:r>
          </w:p>
          <w:p w:rsidR="00F4735A" w:rsidRPr="00511FD7" w:rsidRDefault="00F4735A" w:rsidP="00511FD7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 w:val="0"/>
                <w:sz w:val="20"/>
                <w:szCs w:val="20"/>
              </w:rPr>
              <w:t xml:space="preserve">z komputerem centralnym samodzielnie lub przez stację </w:t>
            </w:r>
            <w:r w:rsidRPr="00511FD7">
              <w:rPr>
                <w:rFonts w:ascii="Tahoma" w:eastAsia="Batang" w:hAnsi="Tahoma" w:cs="Tahoma"/>
                <w:b w:val="0"/>
                <w:sz w:val="20"/>
                <w:szCs w:val="20"/>
              </w:rPr>
              <w:lastRenderedPageBreak/>
              <w:t>dokującą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35A" w:rsidRPr="00511FD7" w:rsidTr="00511FD7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pStyle w:val="Nagwek3"/>
              <w:spacing w:line="360" w:lineRule="auto"/>
              <w:rPr>
                <w:rFonts w:ascii="Tahoma" w:eastAsia="Batang" w:hAnsi="Tahoma" w:cs="Tahoma"/>
                <w:b w:val="0"/>
                <w:sz w:val="20"/>
                <w:szCs w:val="20"/>
              </w:rPr>
            </w:pPr>
            <w:r w:rsidRPr="00511FD7">
              <w:rPr>
                <w:rFonts w:ascii="Tahoma" w:eastAsia="Batang" w:hAnsi="Tahoma" w:cs="Tahoma"/>
                <w:b w:val="0"/>
                <w:sz w:val="20"/>
                <w:szCs w:val="20"/>
              </w:rPr>
              <w:t>Możliwość łączenia pomp w moduły po 2 lub 3 sztuki bez użycia dodatkowych elementów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35A" w:rsidRPr="00511FD7" w:rsidRDefault="00F4735A" w:rsidP="00511FD7">
            <w:pPr>
              <w:spacing w:line="360" w:lineRule="auto"/>
              <w:ind w:left="360" w:hanging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FD7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5A" w:rsidRPr="00511FD7" w:rsidRDefault="00F4735A" w:rsidP="00511FD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277CE" w:rsidRPr="00511FD7" w:rsidRDefault="009277CE" w:rsidP="00511FD7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9277CE" w:rsidRPr="00511FD7" w:rsidSect="00D133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6D8" w:rsidRDefault="001E56D8" w:rsidP="008E7FD2">
      <w:pPr>
        <w:spacing w:after="0" w:line="240" w:lineRule="auto"/>
      </w:pPr>
      <w:r>
        <w:separator/>
      </w:r>
    </w:p>
  </w:endnote>
  <w:endnote w:type="continuationSeparator" w:id="1">
    <w:p w:rsidR="001E56D8" w:rsidRDefault="001E56D8" w:rsidP="008E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6D8" w:rsidRDefault="001E56D8" w:rsidP="008E7FD2">
      <w:pPr>
        <w:spacing w:after="0" w:line="240" w:lineRule="auto"/>
      </w:pPr>
      <w:r>
        <w:separator/>
      </w:r>
    </w:p>
  </w:footnote>
  <w:footnote w:type="continuationSeparator" w:id="1">
    <w:p w:rsidR="001E56D8" w:rsidRDefault="001E56D8" w:rsidP="008E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 w:rsidP="008E7FD2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E7FD2" w:rsidRDefault="008E7FD2" w:rsidP="008E7FD2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8E7FD2" w:rsidRPr="008E7FD2" w:rsidRDefault="008E7FD2" w:rsidP="008E7FD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D2" w:rsidRDefault="008E7F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7002"/>
    <w:multiLevelType w:val="hybridMultilevel"/>
    <w:tmpl w:val="2B62B20C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15E41"/>
    <w:multiLevelType w:val="hybridMultilevel"/>
    <w:tmpl w:val="44DC3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4A5BBA"/>
    <w:multiLevelType w:val="hybridMultilevel"/>
    <w:tmpl w:val="87089F52"/>
    <w:lvl w:ilvl="0" w:tplc="41FE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735A"/>
    <w:rsid w:val="001E56D8"/>
    <w:rsid w:val="003F289E"/>
    <w:rsid w:val="00511FD7"/>
    <w:rsid w:val="005D0D11"/>
    <w:rsid w:val="008E7FD2"/>
    <w:rsid w:val="00916E8D"/>
    <w:rsid w:val="009277CE"/>
    <w:rsid w:val="00BF1DD5"/>
    <w:rsid w:val="00C41730"/>
    <w:rsid w:val="00D133A6"/>
    <w:rsid w:val="00D44CC3"/>
    <w:rsid w:val="00DE5370"/>
    <w:rsid w:val="00F4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3A6"/>
  </w:style>
  <w:style w:type="paragraph" w:styleId="Nagwek3">
    <w:name w:val="heading 3"/>
    <w:basedOn w:val="Normalny"/>
    <w:next w:val="Normalny"/>
    <w:link w:val="Nagwek3Znak"/>
    <w:unhideWhenUsed/>
    <w:qFormat/>
    <w:rsid w:val="00F4735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4735A"/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8E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7FD2"/>
  </w:style>
  <w:style w:type="paragraph" w:styleId="Stopka">
    <w:name w:val="footer"/>
    <w:basedOn w:val="Normalny"/>
    <w:link w:val="StopkaZnak"/>
    <w:uiPriority w:val="99"/>
    <w:semiHidden/>
    <w:unhideWhenUsed/>
    <w:rsid w:val="008E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7FD2"/>
  </w:style>
  <w:style w:type="paragraph" w:styleId="Tekstdymka">
    <w:name w:val="Balloon Text"/>
    <w:basedOn w:val="Normalny"/>
    <w:link w:val="TekstdymkaZnak"/>
    <w:uiPriority w:val="99"/>
    <w:semiHidden/>
    <w:unhideWhenUsed/>
    <w:rsid w:val="008E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757</Words>
  <Characters>4547</Characters>
  <Application>Microsoft Office Word</Application>
  <DocSecurity>0</DocSecurity>
  <Lines>37</Lines>
  <Paragraphs>10</Paragraphs>
  <ScaleCrop>false</ScaleCrop>
  <Company>Your Company Name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</cp:revision>
  <cp:lastPrinted>2015-09-22T05:48:00Z</cp:lastPrinted>
  <dcterms:created xsi:type="dcterms:W3CDTF">2015-09-15T06:05:00Z</dcterms:created>
  <dcterms:modified xsi:type="dcterms:W3CDTF">2015-09-23T09:59:00Z</dcterms:modified>
</cp:coreProperties>
</file>